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30B" w:rsidRDefault="0057530B" w:rsidP="0057530B">
      <w:pPr>
        <w:spacing w:before="100" w:beforeAutospacing="1" w:after="100" w:afterAutospacing="1" w:line="240" w:lineRule="auto"/>
        <w:ind w:left="2160" w:firstLine="720"/>
        <w:jc w:val="both"/>
        <w:outlineLvl w:val="0"/>
        <w:rPr>
          <w:rFonts w:ascii="Times New Roman" w:eastAsia="Times New Roman" w:hAnsi="Times New Roman" w:cs="Times New Roman"/>
          <w:b/>
          <w:bCs/>
          <w:kern w:val="36"/>
          <w:sz w:val="28"/>
          <w:szCs w:val="28"/>
          <w:lang w:eastAsia="en-ZW"/>
        </w:rPr>
      </w:pPr>
      <w:r>
        <w:rPr>
          <w:rFonts w:ascii="Times New Roman" w:eastAsia="Times New Roman" w:hAnsi="Times New Roman" w:cs="Times New Roman"/>
          <w:b/>
          <w:bCs/>
          <w:noProof/>
          <w:kern w:val="36"/>
          <w:sz w:val="28"/>
          <w:szCs w:val="28"/>
          <w:lang w:eastAsia="en-ZW"/>
        </w:rPr>
        <w:drawing>
          <wp:inline distT="0" distB="0" distL="0" distR="0">
            <wp:extent cx="1498600" cy="11432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IMSTAT_LOGO-removebg-preview.png"/>
                    <pic:cNvPicPr/>
                  </pic:nvPicPr>
                  <pic:blipFill>
                    <a:blip r:embed="rId5">
                      <a:extLst>
                        <a:ext uri="{28A0092B-C50C-407E-A947-70E740481C1C}">
                          <a14:useLocalDpi xmlns:a14="http://schemas.microsoft.com/office/drawing/2010/main" val="0"/>
                        </a:ext>
                      </a:extLst>
                    </a:blip>
                    <a:stretch>
                      <a:fillRect/>
                    </a:stretch>
                  </pic:blipFill>
                  <pic:spPr>
                    <a:xfrm>
                      <a:off x="0" y="0"/>
                      <a:ext cx="1519612" cy="1159292"/>
                    </a:xfrm>
                    <a:prstGeom prst="rect">
                      <a:avLst/>
                    </a:prstGeom>
                  </pic:spPr>
                </pic:pic>
              </a:graphicData>
            </a:graphic>
          </wp:inline>
        </w:drawing>
      </w:r>
    </w:p>
    <w:p w:rsidR="00C942F8" w:rsidRPr="0057530B" w:rsidRDefault="00C942F8" w:rsidP="0057530B">
      <w:pPr>
        <w:spacing w:before="100" w:beforeAutospacing="1" w:after="100" w:afterAutospacing="1" w:line="240" w:lineRule="auto"/>
        <w:ind w:left="2160" w:firstLine="720"/>
        <w:jc w:val="both"/>
        <w:outlineLvl w:val="0"/>
        <w:rPr>
          <w:rFonts w:ascii="Times New Roman" w:eastAsia="Times New Roman" w:hAnsi="Times New Roman" w:cs="Times New Roman"/>
          <w:b/>
          <w:bCs/>
          <w:kern w:val="36"/>
          <w:sz w:val="28"/>
          <w:szCs w:val="28"/>
          <w:lang w:eastAsia="en-ZW"/>
        </w:rPr>
      </w:pPr>
      <w:r w:rsidRPr="0057530B">
        <w:rPr>
          <w:rFonts w:ascii="Times New Roman" w:eastAsia="Times New Roman" w:hAnsi="Times New Roman" w:cs="Times New Roman"/>
          <w:b/>
          <w:bCs/>
          <w:kern w:val="36"/>
          <w:sz w:val="28"/>
          <w:szCs w:val="28"/>
          <w:lang w:eastAsia="en-ZW"/>
        </w:rPr>
        <w:t>Executive Summary</w:t>
      </w:r>
    </w:p>
    <w:p w:rsidR="00C942F8" w:rsidRPr="0057530B" w:rsidRDefault="00C942F8" w:rsidP="00C942F8">
      <w:pPr>
        <w:spacing w:before="100" w:beforeAutospacing="1" w:after="100" w:afterAutospacing="1" w:line="240" w:lineRule="auto"/>
        <w:jc w:val="both"/>
        <w:rPr>
          <w:rFonts w:ascii="Times New Roman" w:eastAsia="Times New Roman" w:hAnsi="Times New Roman" w:cs="Times New Roman"/>
          <w:sz w:val="28"/>
          <w:szCs w:val="28"/>
          <w:lang w:eastAsia="en-ZW"/>
        </w:rPr>
      </w:pPr>
      <w:r w:rsidRPr="0057530B">
        <w:rPr>
          <w:rFonts w:ascii="Times New Roman" w:eastAsia="Times New Roman" w:hAnsi="Times New Roman" w:cs="Times New Roman"/>
          <w:sz w:val="28"/>
          <w:szCs w:val="28"/>
          <w:lang w:eastAsia="en-ZW"/>
        </w:rPr>
        <w:t>Education remains one of the most important factors influencing labour market outcomes in Zimbabwe. Using data from the Second Quarter 2025 Quarterly Labour Force Survey (QLFS), this report examines how educational attainment is associated with employment opportunities, labour market participation, unemployment, job quality and labour market exclusion.</w:t>
      </w:r>
    </w:p>
    <w:p w:rsidR="00C942F8" w:rsidRPr="0057530B" w:rsidRDefault="00C942F8" w:rsidP="00C942F8">
      <w:pPr>
        <w:spacing w:before="100" w:beforeAutospacing="1" w:after="100" w:afterAutospacing="1" w:line="240" w:lineRule="auto"/>
        <w:jc w:val="both"/>
        <w:rPr>
          <w:rFonts w:ascii="Times New Roman" w:eastAsia="Times New Roman" w:hAnsi="Times New Roman" w:cs="Times New Roman"/>
          <w:sz w:val="28"/>
          <w:szCs w:val="28"/>
          <w:lang w:eastAsia="en-ZW"/>
        </w:rPr>
      </w:pPr>
      <w:r w:rsidRPr="0057530B">
        <w:rPr>
          <w:rFonts w:ascii="Times New Roman" w:eastAsia="Times New Roman" w:hAnsi="Times New Roman" w:cs="Times New Roman"/>
          <w:sz w:val="28"/>
          <w:szCs w:val="28"/>
          <w:lang w:eastAsia="en-ZW"/>
        </w:rPr>
        <w:t>The findings show that higher levels of education are generally associated with better labour market outcomes. Persons with higher education were more likely to participate in the labour market, secure employment and access formal sector jobs than those with lower levels of education. The employment absorption rate among persons with higher education was substantially higher than for all other education groups, while formal sector employment was concentrated among those with post-secondary and tertiary qualifications.</w:t>
      </w:r>
    </w:p>
    <w:p w:rsidR="00C942F8" w:rsidRPr="0057530B" w:rsidRDefault="00C942F8" w:rsidP="00C942F8">
      <w:pPr>
        <w:spacing w:before="100" w:beforeAutospacing="1" w:after="100" w:afterAutospacing="1" w:line="240" w:lineRule="auto"/>
        <w:jc w:val="both"/>
        <w:rPr>
          <w:rFonts w:ascii="Times New Roman" w:eastAsia="Times New Roman" w:hAnsi="Times New Roman" w:cs="Times New Roman"/>
          <w:sz w:val="28"/>
          <w:szCs w:val="28"/>
          <w:lang w:eastAsia="en-ZW"/>
        </w:rPr>
      </w:pPr>
      <w:r w:rsidRPr="0057530B">
        <w:rPr>
          <w:rFonts w:ascii="Times New Roman" w:eastAsia="Times New Roman" w:hAnsi="Times New Roman" w:cs="Times New Roman"/>
          <w:sz w:val="28"/>
          <w:szCs w:val="28"/>
          <w:lang w:eastAsia="en-ZW"/>
        </w:rPr>
        <w:t>Secondary education remains the most common level of educational attainment among Zimbabwe’s workforce and accounts for the largest share of total employment. However, this group also experiences the highest levels of unemployment and labour underutilisation. Young people with secondary education, particularly those aged 16–25 years, face significant challenges in securing employment opportunities despite being economically active and available for work.</w:t>
      </w:r>
    </w:p>
    <w:p w:rsidR="00C942F8" w:rsidRPr="0057530B" w:rsidRDefault="00C942F8" w:rsidP="00C942F8">
      <w:pPr>
        <w:spacing w:before="100" w:beforeAutospacing="1" w:after="100" w:afterAutospacing="1" w:line="240" w:lineRule="auto"/>
        <w:jc w:val="both"/>
        <w:rPr>
          <w:rFonts w:ascii="Times New Roman" w:eastAsia="Times New Roman" w:hAnsi="Times New Roman" w:cs="Times New Roman"/>
          <w:sz w:val="28"/>
          <w:szCs w:val="28"/>
          <w:lang w:eastAsia="en-ZW"/>
        </w:rPr>
      </w:pPr>
      <w:r w:rsidRPr="0057530B">
        <w:rPr>
          <w:rFonts w:ascii="Times New Roman" w:eastAsia="Times New Roman" w:hAnsi="Times New Roman" w:cs="Times New Roman"/>
          <w:sz w:val="28"/>
          <w:szCs w:val="28"/>
          <w:lang w:eastAsia="en-ZW"/>
        </w:rPr>
        <w:t>The report also highlights substantial differences between urban and rural areas. Persons with higher education are considerably more concentrated in urban areas, while primary education and lower levels of educational attainment remain more prevalent in rural communities. These disparities are reflected in labour market outcomes, including access to formal employment opportunities.</w:t>
      </w:r>
    </w:p>
    <w:p w:rsidR="00C942F8" w:rsidRPr="0057530B" w:rsidRDefault="00C942F8" w:rsidP="00C942F8">
      <w:pPr>
        <w:spacing w:before="100" w:beforeAutospacing="1" w:after="100" w:afterAutospacing="1" w:line="240" w:lineRule="auto"/>
        <w:jc w:val="both"/>
        <w:rPr>
          <w:rFonts w:ascii="Times New Roman" w:eastAsia="Times New Roman" w:hAnsi="Times New Roman" w:cs="Times New Roman"/>
          <w:sz w:val="28"/>
          <w:szCs w:val="28"/>
          <w:lang w:eastAsia="en-ZW"/>
        </w:rPr>
      </w:pPr>
      <w:r w:rsidRPr="0057530B">
        <w:rPr>
          <w:rFonts w:ascii="Times New Roman" w:eastAsia="Times New Roman" w:hAnsi="Times New Roman" w:cs="Times New Roman"/>
          <w:sz w:val="28"/>
          <w:szCs w:val="28"/>
          <w:lang w:eastAsia="en-ZW"/>
        </w:rPr>
        <w:t xml:space="preserve">Analysis of occupations and industries reveals that educational attainment plays an important role in determining the type of work individuals perform. Occupations such as managers, professionals and technicians are largely dominated by persons with higher educational qualifications, while lower-skilled occupations are mainly occupied by persons with secondary and primary education. Nevertheless, evidence of qualification mismatch exists, with some highly educated individuals employed in occupations requiring lower skill levels </w:t>
      </w:r>
      <w:r w:rsidRPr="0057530B">
        <w:rPr>
          <w:rFonts w:ascii="Times New Roman" w:eastAsia="Times New Roman" w:hAnsi="Times New Roman" w:cs="Times New Roman"/>
          <w:sz w:val="28"/>
          <w:szCs w:val="28"/>
          <w:lang w:eastAsia="en-ZW"/>
        </w:rPr>
        <w:lastRenderedPageBreak/>
        <w:t>and some workers occupying positions with qualifications below those typically associated with their jobs.</w:t>
      </w:r>
    </w:p>
    <w:p w:rsidR="00C942F8" w:rsidRPr="0057530B" w:rsidRDefault="00C942F8" w:rsidP="00C942F8">
      <w:pPr>
        <w:spacing w:before="100" w:beforeAutospacing="1" w:after="100" w:afterAutospacing="1" w:line="240" w:lineRule="auto"/>
        <w:jc w:val="both"/>
        <w:rPr>
          <w:rFonts w:ascii="Times New Roman" w:eastAsia="Times New Roman" w:hAnsi="Times New Roman" w:cs="Times New Roman"/>
          <w:sz w:val="28"/>
          <w:szCs w:val="28"/>
          <w:lang w:eastAsia="en-ZW"/>
        </w:rPr>
      </w:pPr>
      <w:r w:rsidRPr="0057530B">
        <w:rPr>
          <w:rFonts w:ascii="Times New Roman" w:eastAsia="Times New Roman" w:hAnsi="Times New Roman" w:cs="Times New Roman"/>
          <w:sz w:val="28"/>
          <w:szCs w:val="28"/>
          <w:lang w:eastAsia="en-ZW"/>
        </w:rPr>
        <w:t>The quality of employment also varies significantly by education level. Informal employment declines as educational attainment increases, while access to formal employment, permanent jobs and more secure forms of work improves. Persons with higher education were less likely to experience time-related underemployment and labour underutilisation compared to those with lower educational attainment.</w:t>
      </w:r>
    </w:p>
    <w:p w:rsidR="00C942F8" w:rsidRPr="0057530B" w:rsidRDefault="00C942F8" w:rsidP="00C942F8">
      <w:pPr>
        <w:spacing w:before="100" w:beforeAutospacing="1" w:after="100" w:afterAutospacing="1" w:line="240" w:lineRule="auto"/>
        <w:jc w:val="both"/>
        <w:rPr>
          <w:rFonts w:ascii="Times New Roman" w:eastAsia="Times New Roman" w:hAnsi="Times New Roman" w:cs="Times New Roman"/>
          <w:sz w:val="28"/>
          <w:szCs w:val="28"/>
          <w:lang w:eastAsia="en-ZW"/>
        </w:rPr>
      </w:pPr>
      <w:r w:rsidRPr="0057530B">
        <w:rPr>
          <w:rFonts w:ascii="Times New Roman" w:eastAsia="Times New Roman" w:hAnsi="Times New Roman" w:cs="Times New Roman"/>
          <w:sz w:val="28"/>
          <w:szCs w:val="28"/>
          <w:lang w:eastAsia="en-ZW"/>
        </w:rPr>
        <w:t>The report further shows that labour market challenges are not experienced equally across population groups. Females generally recorded lower labour force participation and higher levels of labour underutilisation than males. In addition, discouraged job seeking and labour market exclusion remain more pronounced among certain education groups, particularly among those with lower educational attainment.</w:t>
      </w:r>
    </w:p>
    <w:p w:rsidR="00C942F8" w:rsidRPr="0057530B" w:rsidRDefault="00C942F8" w:rsidP="00C942F8">
      <w:pPr>
        <w:spacing w:before="100" w:beforeAutospacing="1" w:after="100" w:afterAutospacing="1" w:line="240" w:lineRule="auto"/>
        <w:jc w:val="both"/>
        <w:rPr>
          <w:rFonts w:ascii="Times New Roman" w:eastAsia="Times New Roman" w:hAnsi="Times New Roman" w:cs="Times New Roman"/>
          <w:sz w:val="28"/>
          <w:szCs w:val="28"/>
          <w:lang w:eastAsia="en-ZW"/>
        </w:rPr>
      </w:pPr>
      <w:r w:rsidRPr="0057530B">
        <w:rPr>
          <w:rFonts w:ascii="Times New Roman" w:eastAsia="Times New Roman" w:hAnsi="Times New Roman" w:cs="Times New Roman"/>
          <w:sz w:val="28"/>
          <w:szCs w:val="28"/>
          <w:lang w:eastAsia="en-ZW"/>
        </w:rPr>
        <w:t>Among young people, the proportion who were not in employment, education or training (NEET) declined as education levels increased, suggesting that continued participation in education and skills development may improve labour market attachment and reduce the risk of exclusion.</w:t>
      </w:r>
    </w:p>
    <w:p w:rsidR="00C942F8" w:rsidRDefault="00C942F8" w:rsidP="00C942F8">
      <w:pPr>
        <w:spacing w:before="100" w:beforeAutospacing="1" w:after="100" w:afterAutospacing="1" w:line="240" w:lineRule="auto"/>
        <w:jc w:val="both"/>
        <w:rPr>
          <w:rFonts w:ascii="Times New Roman" w:eastAsia="Times New Roman" w:hAnsi="Times New Roman" w:cs="Times New Roman"/>
          <w:sz w:val="28"/>
          <w:szCs w:val="28"/>
          <w:lang w:eastAsia="en-ZW"/>
        </w:rPr>
      </w:pPr>
      <w:r w:rsidRPr="0057530B">
        <w:rPr>
          <w:rFonts w:ascii="Times New Roman" w:eastAsia="Times New Roman" w:hAnsi="Times New Roman" w:cs="Times New Roman"/>
          <w:sz w:val="28"/>
          <w:szCs w:val="28"/>
          <w:lang w:eastAsia="en-ZW"/>
        </w:rPr>
        <w:t xml:space="preserve">Overall, the findings demonstrate that education remains a key pathway to improved labour market outcomes in Zimbabwe. </w:t>
      </w:r>
    </w:p>
    <w:p w:rsidR="007663D1" w:rsidRPr="00873D0D" w:rsidRDefault="007663D1" w:rsidP="00873D0D">
      <w:pPr>
        <w:jc w:val="center"/>
        <w:rPr>
          <w:rFonts w:ascii="Times New Roman" w:hAnsi="Times New Roman" w:cs="Times New Roman"/>
          <w:b/>
          <w:sz w:val="28"/>
          <w:szCs w:val="28"/>
        </w:rPr>
      </w:pPr>
      <w:r w:rsidRPr="007663D1">
        <w:rPr>
          <w:rFonts w:ascii="Times New Roman" w:hAnsi="Times New Roman" w:cs="Times New Roman"/>
          <w:b/>
          <w:sz w:val="28"/>
          <w:szCs w:val="28"/>
        </w:rPr>
        <w:t>CONNECT WITH ZIMSTAT</w:t>
      </w:r>
      <w:bookmarkStart w:id="0" w:name="_GoBack"/>
      <w:bookmarkEnd w:id="0"/>
    </w:p>
    <w:p w:rsidR="007663D1" w:rsidRPr="007663D1" w:rsidRDefault="007663D1" w:rsidP="007663D1">
      <w:pPr>
        <w:jc w:val="both"/>
        <w:rPr>
          <w:rFonts w:ascii="Times New Roman" w:hAnsi="Times New Roman" w:cs="Times New Roman"/>
          <w:sz w:val="28"/>
          <w:szCs w:val="28"/>
        </w:rPr>
      </w:pPr>
      <w:r w:rsidRPr="007663D1">
        <w:rPr>
          <w:rFonts w:ascii="Segoe UI Emoji" w:hAnsi="Segoe UI Emoji" w:cs="Segoe UI Emoji"/>
          <w:sz w:val="28"/>
          <w:szCs w:val="28"/>
        </w:rPr>
        <w:t>📞</w:t>
      </w:r>
      <w:r w:rsidRPr="007663D1">
        <w:rPr>
          <w:rFonts w:ascii="Times New Roman" w:hAnsi="Times New Roman" w:cs="Times New Roman"/>
          <w:sz w:val="28"/>
          <w:szCs w:val="28"/>
        </w:rPr>
        <w:t xml:space="preserve"> </w:t>
      </w:r>
      <w:r>
        <w:rPr>
          <w:rFonts w:ascii="Times New Roman" w:hAnsi="Times New Roman" w:cs="Times New Roman"/>
          <w:sz w:val="28"/>
          <w:szCs w:val="28"/>
        </w:rPr>
        <w:tab/>
      </w:r>
      <w:r w:rsidRPr="007663D1">
        <w:rPr>
          <w:rFonts w:ascii="Times New Roman" w:hAnsi="Times New Roman" w:cs="Times New Roman"/>
          <w:sz w:val="28"/>
          <w:szCs w:val="28"/>
        </w:rPr>
        <w:t xml:space="preserve"> +263 242 706681-</w:t>
      </w:r>
      <w:proofErr w:type="gramStart"/>
      <w:r w:rsidRPr="007663D1">
        <w:rPr>
          <w:rFonts w:ascii="Times New Roman" w:hAnsi="Times New Roman" w:cs="Times New Roman"/>
          <w:sz w:val="28"/>
          <w:szCs w:val="28"/>
        </w:rPr>
        <w:t>8  |</w:t>
      </w:r>
      <w:proofErr w:type="gramEnd"/>
      <w:r w:rsidRPr="007663D1">
        <w:rPr>
          <w:rFonts w:ascii="Times New Roman" w:hAnsi="Times New Roman" w:cs="Times New Roman"/>
          <w:sz w:val="28"/>
          <w:szCs w:val="28"/>
        </w:rPr>
        <w:t xml:space="preserve">  +263 242 703971-7  </w:t>
      </w:r>
    </w:p>
    <w:p w:rsidR="00D84B49" w:rsidRPr="007663D1" w:rsidRDefault="007663D1" w:rsidP="007663D1">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731510" cy="62166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gital platform handles.jpeg"/>
                    <pic:cNvPicPr/>
                  </pic:nvPicPr>
                  <pic:blipFill>
                    <a:blip r:embed="rId6">
                      <a:extLst>
                        <a:ext uri="{28A0092B-C50C-407E-A947-70E740481C1C}">
                          <a14:useLocalDpi xmlns:a14="http://schemas.microsoft.com/office/drawing/2010/main" val="0"/>
                        </a:ext>
                      </a:extLst>
                    </a:blip>
                    <a:stretch>
                      <a:fillRect/>
                    </a:stretch>
                  </pic:blipFill>
                  <pic:spPr>
                    <a:xfrm>
                      <a:off x="0" y="0"/>
                      <a:ext cx="5731510" cy="621665"/>
                    </a:xfrm>
                    <a:prstGeom prst="rect">
                      <a:avLst/>
                    </a:prstGeom>
                  </pic:spPr>
                </pic:pic>
              </a:graphicData>
            </a:graphic>
          </wp:inline>
        </w:drawing>
      </w:r>
      <w:r w:rsidRPr="007663D1">
        <w:rPr>
          <w:rFonts w:ascii="Times New Roman" w:hAnsi="Times New Roman" w:cs="Times New Roman"/>
          <w:sz w:val="28"/>
          <w:szCs w:val="28"/>
        </w:rPr>
        <w:t xml:space="preserve"> </w:t>
      </w:r>
      <w:r>
        <w:rPr>
          <w:rFonts w:ascii="Times New Roman" w:hAnsi="Times New Roman" w:cs="Times New Roman"/>
          <w:sz w:val="28"/>
          <w:szCs w:val="28"/>
        </w:rPr>
        <w:tab/>
      </w:r>
      <w:r w:rsidRPr="007663D1">
        <w:rPr>
          <w:rFonts w:ascii="Times New Roman" w:hAnsi="Times New Roman" w:cs="Times New Roman"/>
          <w:sz w:val="28"/>
          <w:szCs w:val="28"/>
        </w:rPr>
        <w:t xml:space="preserve"> </w:t>
      </w:r>
    </w:p>
    <w:sectPr w:rsidR="00D84B49" w:rsidRPr="007663D1" w:rsidSect="0057530B">
      <w:pgSz w:w="11906" w:h="16838"/>
      <w:pgMar w:top="1440" w:right="1440" w:bottom="1440" w:left="1440" w:header="708" w:footer="708" w:gutter="0"/>
      <w:pgBorders w:offsetFrom="page">
        <w:top w:val="thinThickMediumGap" w:sz="24" w:space="24" w:color="002060"/>
        <w:left w:val="thinThickMediumGap" w:sz="24" w:space="24" w:color="002060"/>
        <w:bottom w:val="thinThickMediumGap" w:sz="24" w:space="24" w:color="002060"/>
        <w:right w:val="thinThickMedium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55.5pt;height:355.5pt;visibility:visible;mso-wrap-style:square" o:bullet="t">
        <v:imagedata r:id="rId1" o:title=""/>
      </v:shape>
    </w:pict>
  </w:numPicBullet>
  <w:abstractNum w:abstractNumId="0" w15:restartNumberingAfterBreak="0">
    <w:nsid w:val="1482775B"/>
    <w:multiLevelType w:val="multilevel"/>
    <w:tmpl w:val="81F2C6F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40A54425"/>
    <w:multiLevelType w:val="hybridMultilevel"/>
    <w:tmpl w:val="006EFD8A"/>
    <w:lvl w:ilvl="0" w:tplc="852ECB48">
      <w:start w:val="1"/>
      <w:numFmt w:val="bullet"/>
      <w:lvlText w:val="-"/>
      <w:lvlJc w:val="left"/>
      <w:pPr>
        <w:ind w:left="1080" w:hanging="360"/>
      </w:pPr>
      <w:rPr>
        <w:rFonts w:ascii="Times New Roman" w:eastAsiaTheme="minorEastAsia" w:hAnsi="Times New Roman" w:cs="Times New Roman" w:hint="default"/>
      </w:rPr>
    </w:lvl>
    <w:lvl w:ilvl="1" w:tplc="30090003" w:tentative="1">
      <w:start w:val="1"/>
      <w:numFmt w:val="bullet"/>
      <w:lvlText w:val="o"/>
      <w:lvlJc w:val="left"/>
      <w:pPr>
        <w:ind w:left="1800" w:hanging="360"/>
      </w:pPr>
      <w:rPr>
        <w:rFonts w:ascii="Courier New" w:hAnsi="Courier New" w:cs="Courier New" w:hint="default"/>
      </w:rPr>
    </w:lvl>
    <w:lvl w:ilvl="2" w:tplc="30090005" w:tentative="1">
      <w:start w:val="1"/>
      <w:numFmt w:val="bullet"/>
      <w:lvlText w:val=""/>
      <w:lvlJc w:val="left"/>
      <w:pPr>
        <w:ind w:left="2520" w:hanging="360"/>
      </w:pPr>
      <w:rPr>
        <w:rFonts w:ascii="Wingdings" w:hAnsi="Wingdings" w:hint="default"/>
      </w:rPr>
    </w:lvl>
    <w:lvl w:ilvl="3" w:tplc="30090001" w:tentative="1">
      <w:start w:val="1"/>
      <w:numFmt w:val="bullet"/>
      <w:lvlText w:val=""/>
      <w:lvlJc w:val="left"/>
      <w:pPr>
        <w:ind w:left="3240" w:hanging="360"/>
      </w:pPr>
      <w:rPr>
        <w:rFonts w:ascii="Symbol" w:hAnsi="Symbol" w:hint="default"/>
      </w:rPr>
    </w:lvl>
    <w:lvl w:ilvl="4" w:tplc="30090003" w:tentative="1">
      <w:start w:val="1"/>
      <w:numFmt w:val="bullet"/>
      <w:lvlText w:val="o"/>
      <w:lvlJc w:val="left"/>
      <w:pPr>
        <w:ind w:left="3960" w:hanging="360"/>
      </w:pPr>
      <w:rPr>
        <w:rFonts w:ascii="Courier New" w:hAnsi="Courier New" w:cs="Courier New" w:hint="default"/>
      </w:rPr>
    </w:lvl>
    <w:lvl w:ilvl="5" w:tplc="30090005" w:tentative="1">
      <w:start w:val="1"/>
      <w:numFmt w:val="bullet"/>
      <w:lvlText w:val=""/>
      <w:lvlJc w:val="left"/>
      <w:pPr>
        <w:ind w:left="4680" w:hanging="360"/>
      </w:pPr>
      <w:rPr>
        <w:rFonts w:ascii="Wingdings" w:hAnsi="Wingdings" w:hint="default"/>
      </w:rPr>
    </w:lvl>
    <w:lvl w:ilvl="6" w:tplc="30090001" w:tentative="1">
      <w:start w:val="1"/>
      <w:numFmt w:val="bullet"/>
      <w:lvlText w:val=""/>
      <w:lvlJc w:val="left"/>
      <w:pPr>
        <w:ind w:left="5400" w:hanging="360"/>
      </w:pPr>
      <w:rPr>
        <w:rFonts w:ascii="Symbol" w:hAnsi="Symbol" w:hint="default"/>
      </w:rPr>
    </w:lvl>
    <w:lvl w:ilvl="7" w:tplc="30090003" w:tentative="1">
      <w:start w:val="1"/>
      <w:numFmt w:val="bullet"/>
      <w:lvlText w:val="o"/>
      <w:lvlJc w:val="left"/>
      <w:pPr>
        <w:ind w:left="6120" w:hanging="360"/>
      </w:pPr>
      <w:rPr>
        <w:rFonts w:ascii="Courier New" w:hAnsi="Courier New" w:cs="Courier New" w:hint="default"/>
      </w:rPr>
    </w:lvl>
    <w:lvl w:ilvl="8" w:tplc="30090005" w:tentative="1">
      <w:start w:val="1"/>
      <w:numFmt w:val="bullet"/>
      <w:lvlText w:val=""/>
      <w:lvlJc w:val="left"/>
      <w:pPr>
        <w:ind w:left="6840" w:hanging="360"/>
      </w:pPr>
      <w:rPr>
        <w:rFonts w:ascii="Wingdings" w:hAnsi="Wingdings" w:hint="default"/>
      </w:rPr>
    </w:lvl>
  </w:abstractNum>
  <w:abstractNum w:abstractNumId="2" w15:restartNumberingAfterBreak="0">
    <w:nsid w:val="7D2E2733"/>
    <w:multiLevelType w:val="hybridMultilevel"/>
    <w:tmpl w:val="23DCFAC4"/>
    <w:lvl w:ilvl="0" w:tplc="E97A78EC">
      <w:start w:val="1"/>
      <w:numFmt w:val="bullet"/>
      <w:lvlText w:val=""/>
      <w:lvlPicBulletId w:val="0"/>
      <w:lvlJc w:val="left"/>
      <w:pPr>
        <w:tabs>
          <w:tab w:val="num" w:pos="720"/>
        </w:tabs>
        <w:ind w:left="720" w:hanging="360"/>
      </w:pPr>
      <w:rPr>
        <w:rFonts w:ascii="Symbol" w:hAnsi="Symbol" w:hint="default"/>
      </w:rPr>
    </w:lvl>
    <w:lvl w:ilvl="1" w:tplc="848097F4" w:tentative="1">
      <w:start w:val="1"/>
      <w:numFmt w:val="bullet"/>
      <w:lvlText w:val=""/>
      <w:lvlJc w:val="left"/>
      <w:pPr>
        <w:tabs>
          <w:tab w:val="num" w:pos="1440"/>
        </w:tabs>
        <w:ind w:left="1440" w:hanging="360"/>
      </w:pPr>
      <w:rPr>
        <w:rFonts w:ascii="Symbol" w:hAnsi="Symbol" w:hint="default"/>
      </w:rPr>
    </w:lvl>
    <w:lvl w:ilvl="2" w:tplc="E43C862C" w:tentative="1">
      <w:start w:val="1"/>
      <w:numFmt w:val="bullet"/>
      <w:lvlText w:val=""/>
      <w:lvlJc w:val="left"/>
      <w:pPr>
        <w:tabs>
          <w:tab w:val="num" w:pos="2160"/>
        </w:tabs>
        <w:ind w:left="2160" w:hanging="360"/>
      </w:pPr>
      <w:rPr>
        <w:rFonts w:ascii="Symbol" w:hAnsi="Symbol" w:hint="default"/>
      </w:rPr>
    </w:lvl>
    <w:lvl w:ilvl="3" w:tplc="A848405C" w:tentative="1">
      <w:start w:val="1"/>
      <w:numFmt w:val="bullet"/>
      <w:lvlText w:val=""/>
      <w:lvlJc w:val="left"/>
      <w:pPr>
        <w:tabs>
          <w:tab w:val="num" w:pos="2880"/>
        </w:tabs>
        <w:ind w:left="2880" w:hanging="360"/>
      </w:pPr>
      <w:rPr>
        <w:rFonts w:ascii="Symbol" w:hAnsi="Symbol" w:hint="default"/>
      </w:rPr>
    </w:lvl>
    <w:lvl w:ilvl="4" w:tplc="843433F0" w:tentative="1">
      <w:start w:val="1"/>
      <w:numFmt w:val="bullet"/>
      <w:lvlText w:val=""/>
      <w:lvlJc w:val="left"/>
      <w:pPr>
        <w:tabs>
          <w:tab w:val="num" w:pos="3600"/>
        </w:tabs>
        <w:ind w:left="3600" w:hanging="360"/>
      </w:pPr>
      <w:rPr>
        <w:rFonts w:ascii="Symbol" w:hAnsi="Symbol" w:hint="default"/>
      </w:rPr>
    </w:lvl>
    <w:lvl w:ilvl="5" w:tplc="C5504B3A" w:tentative="1">
      <w:start w:val="1"/>
      <w:numFmt w:val="bullet"/>
      <w:lvlText w:val=""/>
      <w:lvlJc w:val="left"/>
      <w:pPr>
        <w:tabs>
          <w:tab w:val="num" w:pos="4320"/>
        </w:tabs>
        <w:ind w:left="4320" w:hanging="360"/>
      </w:pPr>
      <w:rPr>
        <w:rFonts w:ascii="Symbol" w:hAnsi="Symbol" w:hint="default"/>
      </w:rPr>
    </w:lvl>
    <w:lvl w:ilvl="6" w:tplc="568E1354" w:tentative="1">
      <w:start w:val="1"/>
      <w:numFmt w:val="bullet"/>
      <w:lvlText w:val=""/>
      <w:lvlJc w:val="left"/>
      <w:pPr>
        <w:tabs>
          <w:tab w:val="num" w:pos="5040"/>
        </w:tabs>
        <w:ind w:left="5040" w:hanging="360"/>
      </w:pPr>
      <w:rPr>
        <w:rFonts w:ascii="Symbol" w:hAnsi="Symbol" w:hint="default"/>
      </w:rPr>
    </w:lvl>
    <w:lvl w:ilvl="7" w:tplc="CACED6E2" w:tentative="1">
      <w:start w:val="1"/>
      <w:numFmt w:val="bullet"/>
      <w:lvlText w:val=""/>
      <w:lvlJc w:val="left"/>
      <w:pPr>
        <w:tabs>
          <w:tab w:val="num" w:pos="5760"/>
        </w:tabs>
        <w:ind w:left="5760" w:hanging="360"/>
      </w:pPr>
      <w:rPr>
        <w:rFonts w:ascii="Symbol" w:hAnsi="Symbol" w:hint="default"/>
      </w:rPr>
    </w:lvl>
    <w:lvl w:ilvl="8" w:tplc="2E4A3A0E"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DCA"/>
    <w:rsid w:val="0057530B"/>
    <w:rsid w:val="007663D1"/>
    <w:rsid w:val="00873D0D"/>
    <w:rsid w:val="00BF203B"/>
    <w:rsid w:val="00C942F8"/>
    <w:rsid w:val="00D22F63"/>
    <w:rsid w:val="00D84B49"/>
    <w:rsid w:val="00DB1DCA"/>
    <w:rsid w:val="00E81F8E"/>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DE48"/>
  <w15:chartTrackingRefBased/>
  <w15:docId w15:val="{AB49E163-A4B4-4180-923F-8F47D534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30B"/>
  </w:style>
  <w:style w:type="paragraph" w:styleId="Heading1">
    <w:name w:val="heading 1"/>
    <w:basedOn w:val="Normal"/>
    <w:next w:val="Normal"/>
    <w:link w:val="Heading1Char"/>
    <w:uiPriority w:val="9"/>
    <w:qFormat/>
    <w:rsid w:val="0057530B"/>
    <w:pPr>
      <w:keepNext/>
      <w:keepLines/>
      <w:numPr>
        <w:numId w:val="2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7530B"/>
    <w:pPr>
      <w:keepNext/>
      <w:keepLines/>
      <w:numPr>
        <w:ilvl w:val="1"/>
        <w:numId w:val="2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7530B"/>
    <w:pPr>
      <w:keepNext/>
      <w:keepLines/>
      <w:numPr>
        <w:ilvl w:val="2"/>
        <w:numId w:val="20"/>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7530B"/>
    <w:pPr>
      <w:keepNext/>
      <w:keepLines/>
      <w:numPr>
        <w:ilvl w:val="3"/>
        <w:numId w:val="20"/>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7530B"/>
    <w:pPr>
      <w:keepNext/>
      <w:keepLines/>
      <w:numPr>
        <w:ilvl w:val="4"/>
        <w:numId w:val="20"/>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7530B"/>
    <w:pPr>
      <w:keepNext/>
      <w:keepLines/>
      <w:numPr>
        <w:ilvl w:val="5"/>
        <w:numId w:val="20"/>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7530B"/>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7530B"/>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7530B"/>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30B"/>
    <w:rPr>
      <w:rFonts w:asciiTheme="majorHAnsi" w:eastAsiaTheme="majorEastAsia" w:hAnsiTheme="majorHAnsi" w:cstheme="majorBidi"/>
      <w:b/>
      <w:bCs/>
      <w:smallCaps/>
      <w:color w:val="000000" w:themeColor="text1"/>
      <w:sz w:val="36"/>
      <w:szCs w:val="36"/>
    </w:rPr>
  </w:style>
  <w:style w:type="paragraph" w:styleId="NormalWeb">
    <w:name w:val="Normal (Web)"/>
    <w:basedOn w:val="Normal"/>
    <w:uiPriority w:val="99"/>
    <w:semiHidden/>
    <w:unhideWhenUsed/>
    <w:rsid w:val="00C942F8"/>
    <w:pPr>
      <w:spacing w:before="100" w:beforeAutospacing="1" w:after="100" w:afterAutospacing="1" w:line="240" w:lineRule="auto"/>
    </w:pPr>
    <w:rPr>
      <w:rFonts w:ascii="Times New Roman" w:eastAsia="Times New Roman" w:hAnsi="Times New Roman" w:cs="Times New Roman"/>
      <w:sz w:val="24"/>
      <w:szCs w:val="24"/>
      <w:lang w:eastAsia="en-ZW"/>
    </w:rPr>
  </w:style>
  <w:style w:type="character" w:customStyle="1" w:styleId="Heading2Char">
    <w:name w:val="Heading 2 Char"/>
    <w:basedOn w:val="DefaultParagraphFont"/>
    <w:link w:val="Heading2"/>
    <w:uiPriority w:val="9"/>
    <w:semiHidden/>
    <w:rsid w:val="0057530B"/>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7530B"/>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7530B"/>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7530B"/>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7530B"/>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7530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7530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7530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7530B"/>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7530B"/>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7530B"/>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7530B"/>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7530B"/>
    <w:rPr>
      <w:color w:val="5A5A5A" w:themeColor="text1" w:themeTint="A5"/>
      <w:spacing w:val="10"/>
    </w:rPr>
  </w:style>
  <w:style w:type="character" w:styleId="Strong">
    <w:name w:val="Strong"/>
    <w:basedOn w:val="DefaultParagraphFont"/>
    <w:uiPriority w:val="22"/>
    <w:qFormat/>
    <w:rsid w:val="0057530B"/>
    <w:rPr>
      <w:b/>
      <w:bCs/>
      <w:color w:val="000000" w:themeColor="text1"/>
    </w:rPr>
  </w:style>
  <w:style w:type="character" w:styleId="Emphasis">
    <w:name w:val="Emphasis"/>
    <w:basedOn w:val="DefaultParagraphFont"/>
    <w:uiPriority w:val="20"/>
    <w:qFormat/>
    <w:rsid w:val="0057530B"/>
    <w:rPr>
      <w:i/>
      <w:iCs/>
      <w:color w:val="auto"/>
    </w:rPr>
  </w:style>
  <w:style w:type="paragraph" w:styleId="NoSpacing">
    <w:name w:val="No Spacing"/>
    <w:uiPriority w:val="1"/>
    <w:qFormat/>
    <w:rsid w:val="0057530B"/>
    <w:pPr>
      <w:spacing w:after="0" w:line="240" w:lineRule="auto"/>
    </w:pPr>
  </w:style>
  <w:style w:type="paragraph" w:styleId="Quote">
    <w:name w:val="Quote"/>
    <w:basedOn w:val="Normal"/>
    <w:next w:val="Normal"/>
    <w:link w:val="QuoteChar"/>
    <w:uiPriority w:val="29"/>
    <w:qFormat/>
    <w:rsid w:val="0057530B"/>
    <w:pPr>
      <w:spacing w:before="160"/>
      <w:ind w:left="720" w:right="720"/>
    </w:pPr>
    <w:rPr>
      <w:i/>
      <w:iCs/>
      <w:color w:val="000000" w:themeColor="text1"/>
    </w:rPr>
  </w:style>
  <w:style w:type="character" w:customStyle="1" w:styleId="QuoteChar">
    <w:name w:val="Quote Char"/>
    <w:basedOn w:val="DefaultParagraphFont"/>
    <w:link w:val="Quote"/>
    <w:uiPriority w:val="29"/>
    <w:rsid w:val="0057530B"/>
    <w:rPr>
      <w:i/>
      <w:iCs/>
      <w:color w:val="000000" w:themeColor="text1"/>
    </w:rPr>
  </w:style>
  <w:style w:type="paragraph" w:styleId="IntenseQuote">
    <w:name w:val="Intense Quote"/>
    <w:basedOn w:val="Normal"/>
    <w:next w:val="Normal"/>
    <w:link w:val="IntenseQuoteChar"/>
    <w:uiPriority w:val="30"/>
    <w:qFormat/>
    <w:rsid w:val="0057530B"/>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7530B"/>
    <w:rPr>
      <w:color w:val="000000" w:themeColor="text1"/>
      <w:shd w:val="clear" w:color="auto" w:fill="F2F2F2" w:themeFill="background1" w:themeFillShade="F2"/>
    </w:rPr>
  </w:style>
  <w:style w:type="character" w:styleId="SubtleEmphasis">
    <w:name w:val="Subtle Emphasis"/>
    <w:basedOn w:val="DefaultParagraphFont"/>
    <w:uiPriority w:val="19"/>
    <w:qFormat/>
    <w:rsid w:val="0057530B"/>
    <w:rPr>
      <w:i/>
      <w:iCs/>
      <w:color w:val="404040" w:themeColor="text1" w:themeTint="BF"/>
    </w:rPr>
  </w:style>
  <w:style w:type="character" w:styleId="IntenseEmphasis">
    <w:name w:val="Intense Emphasis"/>
    <w:basedOn w:val="DefaultParagraphFont"/>
    <w:uiPriority w:val="21"/>
    <w:qFormat/>
    <w:rsid w:val="0057530B"/>
    <w:rPr>
      <w:b/>
      <w:bCs/>
      <w:i/>
      <w:iCs/>
      <w:caps/>
    </w:rPr>
  </w:style>
  <w:style w:type="character" w:styleId="SubtleReference">
    <w:name w:val="Subtle Reference"/>
    <w:basedOn w:val="DefaultParagraphFont"/>
    <w:uiPriority w:val="31"/>
    <w:qFormat/>
    <w:rsid w:val="0057530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7530B"/>
    <w:rPr>
      <w:b/>
      <w:bCs/>
      <w:smallCaps/>
      <w:u w:val="single"/>
    </w:rPr>
  </w:style>
  <w:style w:type="character" w:styleId="BookTitle">
    <w:name w:val="Book Title"/>
    <w:basedOn w:val="DefaultParagraphFont"/>
    <w:uiPriority w:val="33"/>
    <w:qFormat/>
    <w:rsid w:val="0057530B"/>
    <w:rPr>
      <w:b w:val="0"/>
      <w:bCs w:val="0"/>
      <w:smallCaps/>
      <w:spacing w:val="5"/>
    </w:rPr>
  </w:style>
  <w:style w:type="paragraph" w:styleId="TOCHeading">
    <w:name w:val="TOC Heading"/>
    <w:basedOn w:val="Heading1"/>
    <w:next w:val="Normal"/>
    <w:uiPriority w:val="39"/>
    <w:semiHidden/>
    <w:unhideWhenUsed/>
    <w:qFormat/>
    <w:rsid w:val="0057530B"/>
    <w:pPr>
      <w:outlineLvl w:val="9"/>
    </w:pPr>
  </w:style>
  <w:style w:type="paragraph" w:styleId="ListParagraph">
    <w:name w:val="List Paragraph"/>
    <w:basedOn w:val="Normal"/>
    <w:uiPriority w:val="34"/>
    <w:qFormat/>
    <w:rsid w:val="007663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87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Munongerwa</dc:creator>
  <cp:keywords/>
  <dc:description/>
  <cp:lastModifiedBy>HP</cp:lastModifiedBy>
  <cp:revision>2</cp:revision>
  <dcterms:created xsi:type="dcterms:W3CDTF">2026-08-06T09:30:00Z</dcterms:created>
  <dcterms:modified xsi:type="dcterms:W3CDTF">2026-08-06T09:30:00Z</dcterms:modified>
</cp:coreProperties>
</file>